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A8D7" w14:textId="77777777" w:rsidR="009A2248" w:rsidRPr="00B42D3F" w:rsidRDefault="009A2248" w:rsidP="00B42D3F">
      <w:pPr>
        <w:ind w:left="360"/>
        <w:jc w:val="center"/>
        <w:rPr>
          <w:rFonts w:cs="Times New Roman"/>
          <w:color w:val="000000"/>
          <w:sz w:val="36"/>
          <w:szCs w:val="36"/>
          <w:lang w:eastAsia="en-GB"/>
        </w:rPr>
      </w:pPr>
      <w:r w:rsidRPr="00B42D3F">
        <w:rPr>
          <w:rFonts w:cs="Arial"/>
          <w:b/>
          <w:bCs/>
          <w:color w:val="000000"/>
          <w:sz w:val="36"/>
          <w:szCs w:val="36"/>
          <w:u w:val="single"/>
          <w:lang w:eastAsia="en-GB"/>
        </w:rPr>
        <w:t>ETW 10th to 20th Jan 2019</w:t>
      </w:r>
    </w:p>
    <w:p w14:paraId="502B872C" w14:textId="77777777" w:rsidR="00B42D3F" w:rsidRPr="009A2248" w:rsidRDefault="00B42D3F" w:rsidP="00B42D3F">
      <w:pPr>
        <w:numPr>
          <w:ilvl w:val="0"/>
          <w:numId w:val="27"/>
        </w:numPr>
        <w:textAlignment w:val="baseline"/>
        <w:rPr>
          <w:rFonts w:cs="Arial"/>
          <w:b/>
          <w:bCs/>
          <w:color w:val="000000"/>
          <w:sz w:val="26"/>
          <w:szCs w:val="26"/>
          <w:lang w:eastAsia="en-GB"/>
        </w:rPr>
      </w:pPr>
      <w:r w:rsidRPr="009A2248">
        <w:rPr>
          <w:rFonts w:cs="Arial"/>
          <w:b/>
          <w:bCs/>
          <w:color w:val="000000"/>
          <w:sz w:val="26"/>
          <w:szCs w:val="26"/>
          <w:u w:val="single"/>
          <w:lang w:eastAsia="en-GB"/>
        </w:rPr>
        <w:t>RBI defers implementation of capital buffer norms (TH 11 Jan 19)</w:t>
      </w:r>
    </w:p>
    <w:p w14:paraId="30ED91E1" w14:textId="77777777" w:rsidR="00B42D3F" w:rsidRPr="009A2248" w:rsidRDefault="00B42D3F" w:rsidP="00B42D3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Capital Conservation Buffer (CCB) is the capital buffer that the banks need to keep aside during normal times to be used during the time of stress to offset losses  </w:t>
      </w:r>
    </w:p>
    <w:p w14:paraId="250237FC" w14:textId="77777777" w:rsidR="00B42D3F" w:rsidRPr="009A2248" w:rsidRDefault="00B42D3F" w:rsidP="00B42D3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RBI has deferred implementation of last tranche (0.625%) of Capital Conservation Buffer (CCB) by a year i.e. new deadline for CCB of 2.5% will be 31st March 2020  </w:t>
      </w:r>
    </w:p>
    <w:p w14:paraId="612A90D1" w14:textId="77777777" w:rsidR="00B42D3F" w:rsidRPr="009A2248" w:rsidRDefault="00B42D3F" w:rsidP="00B42D3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This will leave ₹ 37000 Cr in the hands of the banks which otherwise should has been kept aside </w:t>
      </w:r>
    </w:p>
    <w:p w14:paraId="39028CB3" w14:textId="77777777" w:rsidR="00B42D3F" w:rsidRPr="009A2248" w:rsidRDefault="00B42D3F" w:rsidP="00B42D3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This in turn is expected to increase the bank lending by ₹ 3.5 lakh Cr </w:t>
      </w:r>
    </w:p>
    <w:p w14:paraId="4A984F6B" w14:textId="77777777" w:rsidR="00B42D3F" w:rsidRPr="00B42D3F" w:rsidRDefault="00B42D3F" w:rsidP="00B42D3F">
      <w:pPr>
        <w:ind w:left="720"/>
        <w:textAlignment w:val="baseline"/>
        <w:rPr>
          <w:rFonts w:cs="Arial"/>
          <w:b/>
          <w:bCs/>
          <w:color w:val="000000"/>
          <w:sz w:val="26"/>
          <w:szCs w:val="26"/>
          <w:lang w:eastAsia="en-GB"/>
        </w:rPr>
      </w:pPr>
    </w:p>
    <w:p w14:paraId="44A8728F" w14:textId="77777777" w:rsidR="00D43FA4" w:rsidRPr="009A2248" w:rsidRDefault="00D43FA4" w:rsidP="00D43FA4">
      <w:pPr>
        <w:numPr>
          <w:ilvl w:val="0"/>
          <w:numId w:val="27"/>
        </w:numPr>
        <w:textAlignment w:val="baseline"/>
        <w:rPr>
          <w:rFonts w:cs="Arial"/>
          <w:b/>
          <w:bCs/>
          <w:color w:val="000000"/>
          <w:sz w:val="26"/>
          <w:szCs w:val="26"/>
          <w:lang w:eastAsia="en-GB"/>
        </w:rPr>
      </w:pPr>
      <w:r w:rsidRPr="009A2248">
        <w:rPr>
          <w:rFonts w:cs="Arial"/>
          <w:b/>
          <w:bCs/>
          <w:color w:val="000000"/>
          <w:sz w:val="26"/>
          <w:szCs w:val="26"/>
          <w:u w:val="single"/>
          <w:lang w:eastAsia="en-GB"/>
        </w:rPr>
        <w:t>CPSE plans are stuck (FE 15/1/19)</w:t>
      </w:r>
    </w:p>
    <w:p w14:paraId="0D3FB64A" w14:textId="77777777" w:rsidR="00D43FA4" w:rsidRPr="009A2248" w:rsidRDefault="00D43FA4" w:rsidP="00D43FA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The central government has announced a scheme for closure of CPSES in September 2016, which would fast-track the closure of perennially sick CPSEs</w:t>
      </w:r>
    </w:p>
    <w:p w14:paraId="6040DC4B" w14:textId="77777777" w:rsidR="00D43FA4" w:rsidRPr="009A2248" w:rsidRDefault="00D43FA4" w:rsidP="00D43FA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Under this, the winding up of only 2 sick CPSEs has been completed out of 19 which have been identified for closure (another 10 CPSEs have been recommended for closure by NITI Aayog on which the govt is yet to take a call)</w:t>
      </w:r>
    </w:p>
    <w:p w14:paraId="335017EB" w14:textId="77777777" w:rsidR="00D43FA4" w:rsidRPr="009A2248" w:rsidRDefault="00D43FA4" w:rsidP="00D43FA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The two which have been closed are smaller ones but the bigger ones which have been dragging the finances of the government are yet to be wound up </w:t>
      </w:r>
    </w:p>
    <w:p w14:paraId="22B250B7" w14:textId="77777777" w:rsidR="00D43FA4" w:rsidRPr="009A2248" w:rsidRDefault="00D43FA4" w:rsidP="00D43FA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The delay in closure has been because of </w:t>
      </w:r>
    </w:p>
    <w:p w14:paraId="2DCF34C1" w14:textId="77777777" w:rsidR="00D43FA4" w:rsidRPr="009A2248" w:rsidRDefault="00D43FA4" w:rsidP="00D43FA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Stays imposed by courts because of petitions filed by the workers’ union and banks</w:t>
      </w:r>
    </w:p>
    <w:p w14:paraId="01279367" w14:textId="77777777" w:rsidR="00D43FA4" w:rsidRPr="009A2248" w:rsidRDefault="00D43FA4" w:rsidP="00D43FA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 xml:space="preserve">Delays in disposal of lands </w:t>
      </w:r>
    </w:p>
    <w:p w14:paraId="664E8E3D" w14:textId="77777777" w:rsidR="00D43FA4" w:rsidRPr="009A2248" w:rsidRDefault="00D43FA4" w:rsidP="00D43FA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Non-payment of statutory dues like salaries and taxes</w:t>
      </w:r>
    </w:p>
    <w:p w14:paraId="6EB3A05C" w14:textId="77777777" w:rsidR="00D43FA4" w:rsidRDefault="00D43FA4" w:rsidP="00D43FA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As on 31st march 2017, 188 government companies and corporations have accumulated losses of ₹ 1,23,194 Cr </w:t>
      </w:r>
    </w:p>
    <w:p w14:paraId="3D280DDB" w14:textId="77777777" w:rsidR="00D43FA4" w:rsidRPr="00D43FA4" w:rsidRDefault="00D43FA4" w:rsidP="00D43FA4">
      <w:pPr>
        <w:ind w:left="720"/>
        <w:textAlignment w:val="baseline"/>
        <w:rPr>
          <w:rFonts w:cs="Arial"/>
          <w:b/>
          <w:bCs/>
          <w:color w:val="000000"/>
          <w:sz w:val="26"/>
          <w:szCs w:val="26"/>
          <w:lang w:eastAsia="en-GB"/>
        </w:rPr>
      </w:pPr>
    </w:p>
    <w:p w14:paraId="4DED0C13" w14:textId="77777777" w:rsidR="00937FC4" w:rsidRPr="009A2248" w:rsidRDefault="00937FC4" w:rsidP="00937FC4">
      <w:pPr>
        <w:numPr>
          <w:ilvl w:val="0"/>
          <w:numId w:val="27"/>
        </w:numPr>
        <w:textAlignment w:val="baseline"/>
        <w:rPr>
          <w:rFonts w:cs="Arial"/>
          <w:b/>
          <w:bCs/>
          <w:color w:val="000000"/>
          <w:sz w:val="26"/>
          <w:szCs w:val="26"/>
          <w:lang w:eastAsia="en-GB"/>
        </w:rPr>
      </w:pPr>
      <w:r w:rsidRPr="009A2248">
        <w:rPr>
          <w:rFonts w:cs="Arial"/>
          <w:b/>
          <w:bCs/>
          <w:color w:val="000000"/>
          <w:sz w:val="26"/>
          <w:szCs w:val="26"/>
          <w:u w:val="single"/>
          <w:lang w:eastAsia="en-GB"/>
        </w:rPr>
        <w:t>Saubhagya Scheme - coverage issues (BL 15/1/19)</w:t>
      </w:r>
    </w:p>
    <w:p w14:paraId="19F50AC6" w14:textId="77777777" w:rsidR="00937FC4" w:rsidRPr="009A2248" w:rsidRDefault="00937FC4" w:rsidP="00937FC4">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The government has clarified that it hasn’t missed the target of electrifying the households under the Pradhan Mantri </w:t>
      </w:r>
      <w:proofErr w:type="spellStart"/>
      <w:r w:rsidRPr="009A2248">
        <w:rPr>
          <w:rFonts w:cs="Arial"/>
          <w:color w:val="000000"/>
          <w:sz w:val="26"/>
          <w:szCs w:val="26"/>
          <w:lang w:eastAsia="en-GB"/>
        </w:rPr>
        <w:t>Sahaj</w:t>
      </w:r>
      <w:proofErr w:type="spellEnd"/>
      <w:r w:rsidRPr="009A2248">
        <w:rPr>
          <w:rFonts w:cs="Arial"/>
          <w:color w:val="000000"/>
          <w:sz w:val="26"/>
          <w:szCs w:val="26"/>
          <w:lang w:eastAsia="en-GB"/>
        </w:rPr>
        <w:t xml:space="preserve"> </w:t>
      </w:r>
      <w:proofErr w:type="spellStart"/>
      <w:r w:rsidRPr="009A2248">
        <w:rPr>
          <w:rFonts w:cs="Arial"/>
          <w:color w:val="000000"/>
          <w:sz w:val="26"/>
          <w:szCs w:val="26"/>
          <w:lang w:eastAsia="en-GB"/>
        </w:rPr>
        <w:t>Bijli</w:t>
      </w:r>
      <w:proofErr w:type="spellEnd"/>
      <w:r w:rsidRPr="009A2248">
        <w:rPr>
          <w:rFonts w:cs="Arial"/>
          <w:color w:val="000000"/>
          <w:sz w:val="26"/>
          <w:szCs w:val="26"/>
          <w:lang w:eastAsia="en-GB"/>
        </w:rPr>
        <w:t xml:space="preserve"> </w:t>
      </w:r>
      <w:proofErr w:type="spellStart"/>
      <w:r w:rsidRPr="009A2248">
        <w:rPr>
          <w:rFonts w:cs="Arial"/>
          <w:color w:val="000000"/>
          <w:sz w:val="26"/>
          <w:szCs w:val="26"/>
          <w:lang w:eastAsia="en-GB"/>
        </w:rPr>
        <w:t>Har</w:t>
      </w:r>
      <w:proofErr w:type="spellEnd"/>
      <w:r w:rsidRPr="009A2248">
        <w:rPr>
          <w:rFonts w:cs="Arial"/>
          <w:color w:val="000000"/>
          <w:sz w:val="26"/>
          <w:szCs w:val="26"/>
          <w:lang w:eastAsia="en-GB"/>
        </w:rPr>
        <w:t xml:space="preserve"> </w:t>
      </w:r>
      <w:proofErr w:type="spellStart"/>
      <w:r w:rsidRPr="009A2248">
        <w:rPr>
          <w:rFonts w:cs="Arial"/>
          <w:color w:val="000000"/>
          <w:sz w:val="26"/>
          <w:szCs w:val="26"/>
          <w:lang w:eastAsia="en-GB"/>
        </w:rPr>
        <w:t>Ghar</w:t>
      </w:r>
      <w:proofErr w:type="spellEnd"/>
      <w:r w:rsidRPr="009A2248">
        <w:rPr>
          <w:rFonts w:cs="Arial"/>
          <w:color w:val="000000"/>
          <w:sz w:val="26"/>
          <w:szCs w:val="26"/>
          <w:lang w:eastAsia="en-GB"/>
        </w:rPr>
        <w:t xml:space="preserve"> Yojana (Saubhagya). Rather the houses reported to be unconnected are the ones which have been stealing the electricity</w:t>
      </w:r>
    </w:p>
    <w:p w14:paraId="68AB078C" w14:textId="77777777" w:rsidR="00937FC4" w:rsidRPr="009A2248" w:rsidRDefault="00937FC4" w:rsidP="00937FC4">
      <w:pPr>
        <w:numPr>
          <w:ilvl w:val="1"/>
          <w:numId w:val="27"/>
        </w:numPr>
        <w:textAlignment w:val="baseline"/>
        <w:rPr>
          <w:rFonts w:cs="Arial"/>
          <w:color w:val="000000"/>
          <w:sz w:val="26"/>
          <w:szCs w:val="26"/>
          <w:lang w:eastAsia="en-GB"/>
        </w:rPr>
      </w:pPr>
      <w:r w:rsidRPr="009A2248">
        <w:rPr>
          <w:rFonts w:cs="Arial"/>
          <w:b/>
          <w:bCs/>
          <w:color w:val="000000"/>
          <w:sz w:val="26"/>
          <w:szCs w:val="26"/>
          <w:u w:val="single"/>
          <w:lang w:eastAsia="en-GB"/>
        </w:rPr>
        <w:t>Intro</w:t>
      </w:r>
      <w:r w:rsidRPr="009A2248">
        <w:rPr>
          <w:rFonts w:cs="Arial"/>
          <w:color w:val="000000"/>
          <w:sz w:val="26"/>
          <w:szCs w:val="26"/>
          <w:lang w:eastAsia="en-GB"/>
        </w:rPr>
        <w:t xml:space="preserve"> </w:t>
      </w:r>
    </w:p>
    <w:p w14:paraId="044D79DA" w14:textId="77777777" w:rsidR="00937FC4" w:rsidRPr="009A2248" w:rsidRDefault="00937FC4" w:rsidP="00937FC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 xml:space="preserve">The scheme was launched in September 2017 </w:t>
      </w:r>
    </w:p>
    <w:p w14:paraId="2B485A91" w14:textId="77777777" w:rsidR="00937FC4" w:rsidRPr="009A2248" w:rsidRDefault="00937FC4" w:rsidP="00937FC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The total outlay has been ₹ 16320 Cr (with a gross budgetary support of ₹ 12320 Cr)</w:t>
      </w:r>
    </w:p>
    <w:p w14:paraId="11C73343" w14:textId="3475574D" w:rsidR="00937FC4" w:rsidRPr="009A2248" w:rsidRDefault="00937FC4" w:rsidP="00937FC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 xml:space="preserve">The target has been </w:t>
      </w:r>
      <w:r w:rsidR="0053594E">
        <w:rPr>
          <w:rFonts w:cs="Arial"/>
          <w:color w:val="000000"/>
          <w:sz w:val="26"/>
          <w:szCs w:val="26"/>
          <w:lang w:eastAsia="en-GB"/>
        </w:rPr>
        <w:t xml:space="preserve">to </w:t>
      </w:r>
      <w:r w:rsidR="0053594E" w:rsidRPr="009A2248">
        <w:rPr>
          <w:rFonts w:cs="Arial"/>
          <w:color w:val="000000"/>
          <w:sz w:val="26"/>
          <w:szCs w:val="26"/>
          <w:lang w:eastAsia="en-GB"/>
        </w:rPr>
        <w:t>electrify</w:t>
      </w:r>
      <w:r w:rsidRPr="009A2248">
        <w:rPr>
          <w:rFonts w:cs="Arial"/>
          <w:color w:val="000000"/>
          <w:sz w:val="26"/>
          <w:szCs w:val="26"/>
          <w:lang w:eastAsia="en-GB"/>
        </w:rPr>
        <w:t xml:space="preserve"> all the willing households by March 2019 (has been extended to 31st December 2019)</w:t>
      </w:r>
    </w:p>
    <w:p w14:paraId="220648DD" w14:textId="77777777" w:rsidR="00937FC4" w:rsidRPr="009A2248" w:rsidRDefault="00937FC4" w:rsidP="00937FC4">
      <w:pPr>
        <w:numPr>
          <w:ilvl w:val="2"/>
          <w:numId w:val="27"/>
        </w:numPr>
        <w:textAlignment w:val="baseline"/>
        <w:rPr>
          <w:rFonts w:cs="Arial"/>
          <w:color w:val="000000"/>
          <w:sz w:val="26"/>
          <w:szCs w:val="26"/>
          <w:lang w:eastAsia="en-GB"/>
        </w:rPr>
      </w:pPr>
      <w:r w:rsidRPr="009A2248">
        <w:rPr>
          <w:rFonts w:cs="Arial"/>
          <w:color w:val="000000"/>
          <w:sz w:val="26"/>
          <w:szCs w:val="26"/>
          <w:lang w:eastAsia="en-GB"/>
        </w:rPr>
        <w:t>As per the latest numbers</w:t>
      </w:r>
    </w:p>
    <w:p w14:paraId="6626109D" w14:textId="77777777" w:rsidR="00937FC4" w:rsidRPr="009A2248" w:rsidRDefault="00937FC4" w:rsidP="00937FC4">
      <w:pPr>
        <w:numPr>
          <w:ilvl w:val="3"/>
          <w:numId w:val="27"/>
        </w:numPr>
        <w:textAlignment w:val="baseline"/>
        <w:rPr>
          <w:rFonts w:cs="Arial"/>
          <w:color w:val="000000"/>
          <w:sz w:val="26"/>
          <w:szCs w:val="26"/>
          <w:lang w:eastAsia="en-GB"/>
        </w:rPr>
      </w:pPr>
      <w:r w:rsidRPr="009A2248">
        <w:rPr>
          <w:rFonts w:cs="Arial"/>
          <w:color w:val="000000"/>
          <w:sz w:val="26"/>
          <w:szCs w:val="26"/>
          <w:lang w:eastAsia="en-GB"/>
        </w:rPr>
        <w:lastRenderedPageBreak/>
        <w:t>2.39 Cr households have been electrified since the launch of the scheme</w:t>
      </w:r>
    </w:p>
    <w:p w14:paraId="07D693B4" w14:textId="5D583811" w:rsidR="00937FC4" w:rsidRPr="0053594E" w:rsidRDefault="00937FC4" w:rsidP="0053594E">
      <w:pPr>
        <w:numPr>
          <w:ilvl w:val="1"/>
          <w:numId w:val="27"/>
        </w:numPr>
        <w:textAlignment w:val="baseline"/>
        <w:rPr>
          <w:rFonts w:cs="Arial"/>
          <w:b/>
          <w:bCs/>
          <w:color w:val="000000"/>
          <w:sz w:val="26"/>
          <w:szCs w:val="26"/>
          <w:lang w:eastAsia="en-GB"/>
        </w:rPr>
      </w:pPr>
      <w:r w:rsidRPr="009A2248">
        <w:rPr>
          <w:rFonts w:cs="Arial"/>
          <w:color w:val="000000"/>
          <w:sz w:val="26"/>
          <w:szCs w:val="26"/>
          <w:lang w:eastAsia="en-GB"/>
        </w:rPr>
        <w:t>The govt has claimed that 100% of the households have been electrified in 25 states</w:t>
      </w:r>
    </w:p>
    <w:p w14:paraId="4A7ECB66" w14:textId="77777777" w:rsidR="0053594E" w:rsidRPr="00937FC4" w:rsidRDefault="0053594E" w:rsidP="0053594E">
      <w:pPr>
        <w:ind w:left="1440"/>
        <w:textAlignment w:val="baseline"/>
        <w:rPr>
          <w:rFonts w:cs="Arial"/>
          <w:b/>
          <w:bCs/>
          <w:color w:val="000000"/>
          <w:sz w:val="26"/>
          <w:szCs w:val="26"/>
          <w:lang w:eastAsia="en-GB"/>
        </w:rPr>
      </w:pPr>
    </w:p>
    <w:p w14:paraId="318FF616" w14:textId="77777777" w:rsidR="00E634FF" w:rsidRPr="009A2248" w:rsidRDefault="00E634FF" w:rsidP="00E634FF">
      <w:pPr>
        <w:numPr>
          <w:ilvl w:val="0"/>
          <w:numId w:val="27"/>
        </w:numPr>
        <w:textAlignment w:val="baseline"/>
        <w:rPr>
          <w:rFonts w:cs="Arial"/>
          <w:b/>
          <w:bCs/>
          <w:color w:val="000000"/>
          <w:sz w:val="26"/>
          <w:szCs w:val="26"/>
          <w:lang w:eastAsia="en-GB"/>
        </w:rPr>
      </w:pPr>
      <w:r w:rsidRPr="009A2248">
        <w:rPr>
          <w:rFonts w:cs="Arial"/>
          <w:b/>
          <w:bCs/>
          <w:color w:val="000000"/>
          <w:sz w:val="26"/>
          <w:szCs w:val="26"/>
          <w:u w:val="single"/>
          <w:lang w:eastAsia="en-GB"/>
        </w:rPr>
        <w:t>India drags EU to WTO (IE 12/1/19)</w:t>
      </w:r>
    </w:p>
    <w:p w14:paraId="7AE07D9C" w14:textId="77777777" w:rsidR="00E634FF" w:rsidRPr="009A2248" w:rsidRDefault="00E634FF" w:rsidP="00E634F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India has sought consultations with the EU under the Agreement on Safeguards</w:t>
      </w:r>
    </w:p>
    <w:p w14:paraId="113FBECA" w14:textId="77777777" w:rsidR="00E634FF" w:rsidRPr="009A2248" w:rsidRDefault="00E634FF" w:rsidP="00E634F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This is in relation to safeguard</w:t>
      </w:r>
      <w:r>
        <w:rPr>
          <w:rFonts w:cs="Arial"/>
          <w:color w:val="000000"/>
          <w:sz w:val="26"/>
          <w:szCs w:val="26"/>
          <w:lang w:eastAsia="en-GB"/>
        </w:rPr>
        <w:t xml:space="preserve"> duties that were imposed by 28-</w:t>
      </w:r>
      <w:r w:rsidRPr="009A2248">
        <w:rPr>
          <w:rFonts w:cs="Arial"/>
          <w:color w:val="000000"/>
          <w:sz w:val="26"/>
          <w:szCs w:val="26"/>
          <w:lang w:eastAsia="en-GB"/>
        </w:rPr>
        <w:t>member bloc of EU on steel imports coming from India</w:t>
      </w:r>
    </w:p>
    <w:p w14:paraId="5586FB43" w14:textId="77777777" w:rsidR="00E634FF" w:rsidRDefault="00E634FF" w:rsidP="00E634FF">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EU in July proposed imposition of safeguarding duties to protect their industry against surge of imports </w:t>
      </w:r>
    </w:p>
    <w:p w14:paraId="0D7DE391" w14:textId="77777777" w:rsidR="00E634FF" w:rsidRPr="00E634FF" w:rsidRDefault="00E634FF" w:rsidP="00E634FF">
      <w:pPr>
        <w:ind w:left="720"/>
        <w:textAlignment w:val="baseline"/>
        <w:rPr>
          <w:rFonts w:cs="Arial"/>
          <w:b/>
          <w:bCs/>
          <w:color w:val="000000"/>
          <w:sz w:val="26"/>
          <w:szCs w:val="26"/>
          <w:lang w:eastAsia="en-GB"/>
        </w:rPr>
      </w:pPr>
    </w:p>
    <w:p w14:paraId="2EEBA740" w14:textId="77777777" w:rsidR="009F6475" w:rsidRPr="009A2248" w:rsidRDefault="009F6475" w:rsidP="009F6475">
      <w:pPr>
        <w:numPr>
          <w:ilvl w:val="0"/>
          <w:numId w:val="27"/>
        </w:numPr>
        <w:textAlignment w:val="baseline"/>
        <w:rPr>
          <w:rFonts w:cs="Arial"/>
          <w:b/>
          <w:bCs/>
          <w:color w:val="000000"/>
          <w:sz w:val="26"/>
          <w:szCs w:val="26"/>
          <w:lang w:eastAsia="en-GB"/>
        </w:rPr>
      </w:pPr>
      <w:r w:rsidRPr="009A2248">
        <w:rPr>
          <w:rFonts w:cs="Arial"/>
          <w:b/>
          <w:bCs/>
          <w:color w:val="000000"/>
          <w:sz w:val="26"/>
          <w:szCs w:val="26"/>
          <w:u w:val="single"/>
          <w:lang w:eastAsia="en-GB"/>
        </w:rPr>
        <w:t>Fertiliser subsidy to overshoot the budgeted expenditure (BL 15/1/19)</w:t>
      </w:r>
    </w:p>
    <w:p w14:paraId="217C1533" w14:textId="77777777" w:rsidR="009F6475" w:rsidRPr="009A2248" w:rsidRDefault="009F6475" w:rsidP="009F6475">
      <w:pPr>
        <w:numPr>
          <w:ilvl w:val="1"/>
          <w:numId w:val="27"/>
        </w:numPr>
        <w:textAlignment w:val="baseline"/>
        <w:rPr>
          <w:rFonts w:cs="Arial"/>
          <w:color w:val="000000"/>
          <w:sz w:val="26"/>
          <w:szCs w:val="26"/>
          <w:lang w:eastAsia="en-GB"/>
        </w:rPr>
      </w:pPr>
      <w:r w:rsidRPr="009A2248">
        <w:rPr>
          <w:rFonts w:cs="Arial"/>
          <w:color w:val="000000"/>
          <w:sz w:val="26"/>
          <w:szCs w:val="26"/>
          <w:lang w:eastAsia="en-GB"/>
        </w:rPr>
        <w:t>The budgeted expenditure is expected to be ₹ 1 lakh Cr and the allocation was ₹ 70080. The expenditure is expected to overshoot by ₹ 30000 Cr for this fiscal</w:t>
      </w:r>
    </w:p>
    <w:p w14:paraId="3045FBED" w14:textId="77777777" w:rsidR="009F6475" w:rsidRPr="009A2248" w:rsidRDefault="009F6475" w:rsidP="009F6475">
      <w:pPr>
        <w:numPr>
          <w:ilvl w:val="1"/>
          <w:numId w:val="27"/>
        </w:numPr>
        <w:textAlignment w:val="baseline"/>
        <w:rPr>
          <w:rFonts w:cs="Arial"/>
          <w:color w:val="000000"/>
          <w:sz w:val="26"/>
          <w:szCs w:val="26"/>
          <w:lang w:eastAsia="en-GB"/>
        </w:rPr>
      </w:pPr>
      <w:r w:rsidRPr="009A2248">
        <w:rPr>
          <w:rFonts w:cs="Arial"/>
          <w:color w:val="000000"/>
          <w:sz w:val="26"/>
          <w:szCs w:val="26"/>
          <w:lang w:eastAsia="en-GB"/>
        </w:rPr>
        <w:t>The finance ministry has already denied extra money for the subsidy</w:t>
      </w:r>
    </w:p>
    <w:p w14:paraId="07DE87FF" w14:textId="77777777" w:rsidR="009F6475" w:rsidRPr="009A2248" w:rsidRDefault="009F6475" w:rsidP="009F6475">
      <w:pPr>
        <w:numPr>
          <w:ilvl w:val="1"/>
          <w:numId w:val="27"/>
        </w:numPr>
        <w:textAlignment w:val="baseline"/>
        <w:rPr>
          <w:rFonts w:cs="Arial"/>
          <w:color w:val="000000"/>
          <w:sz w:val="26"/>
          <w:szCs w:val="26"/>
          <w:lang w:eastAsia="en-GB"/>
        </w:rPr>
      </w:pPr>
      <w:r w:rsidRPr="009A2248">
        <w:rPr>
          <w:rFonts w:cs="Arial"/>
          <w:color w:val="000000"/>
          <w:sz w:val="26"/>
          <w:szCs w:val="26"/>
          <w:lang w:eastAsia="en-GB"/>
        </w:rPr>
        <w:t>The rise in the fertiliser prices is because of increased international prices and rupee depreciation</w:t>
      </w:r>
    </w:p>
    <w:p w14:paraId="7F13ED64" w14:textId="77777777" w:rsidR="009F6475" w:rsidRPr="009A2248" w:rsidRDefault="009F6475" w:rsidP="009F6475">
      <w:pPr>
        <w:numPr>
          <w:ilvl w:val="1"/>
          <w:numId w:val="27"/>
        </w:numPr>
        <w:textAlignment w:val="baseline"/>
        <w:rPr>
          <w:rFonts w:cs="Arial"/>
          <w:color w:val="000000"/>
          <w:sz w:val="26"/>
          <w:szCs w:val="26"/>
          <w:lang w:eastAsia="en-GB"/>
        </w:rPr>
      </w:pPr>
      <w:r w:rsidRPr="009A2248">
        <w:rPr>
          <w:rFonts w:cs="Arial"/>
          <w:color w:val="000000"/>
          <w:sz w:val="26"/>
          <w:szCs w:val="26"/>
          <w:lang w:eastAsia="en-GB"/>
        </w:rPr>
        <w:t xml:space="preserve">The central government is thinking of tapping the PSBs for loans </w:t>
      </w:r>
    </w:p>
    <w:p w14:paraId="3A871887" w14:textId="77777777" w:rsidR="009F6475" w:rsidRPr="009A2248" w:rsidRDefault="009F6475" w:rsidP="009F6475">
      <w:pPr>
        <w:numPr>
          <w:ilvl w:val="1"/>
          <w:numId w:val="27"/>
        </w:numPr>
        <w:textAlignment w:val="baseline"/>
        <w:rPr>
          <w:rFonts w:cs="Arial"/>
          <w:color w:val="000000"/>
          <w:sz w:val="26"/>
          <w:szCs w:val="26"/>
          <w:lang w:eastAsia="en-GB"/>
        </w:rPr>
      </w:pPr>
      <w:r w:rsidRPr="009A2248">
        <w:rPr>
          <w:rFonts w:cs="Arial"/>
          <w:color w:val="000000"/>
          <w:sz w:val="26"/>
          <w:szCs w:val="26"/>
          <w:lang w:eastAsia="en-GB"/>
        </w:rPr>
        <w:t>In the past also the government has rolled over the subsidy payments to the companies or has entered into agreements with the banks to finance the subsidy</w:t>
      </w:r>
    </w:p>
    <w:p w14:paraId="7F4C587D" w14:textId="77777777" w:rsidR="009F6475" w:rsidRPr="009F6475" w:rsidRDefault="009F6475" w:rsidP="009F6475">
      <w:pPr>
        <w:ind w:left="720"/>
        <w:textAlignment w:val="baseline"/>
        <w:rPr>
          <w:rFonts w:cs="Arial"/>
          <w:b/>
          <w:bCs/>
          <w:color w:val="000000"/>
          <w:sz w:val="26"/>
          <w:szCs w:val="26"/>
          <w:lang w:eastAsia="en-GB"/>
        </w:rPr>
      </w:pPr>
    </w:p>
    <w:p w14:paraId="7A5E32A4" w14:textId="401CE1D0" w:rsidR="009F6475" w:rsidRPr="009F6475" w:rsidRDefault="00275B1F" w:rsidP="009F6475">
      <w:pPr>
        <w:pStyle w:val="NormalWeb"/>
        <w:numPr>
          <w:ilvl w:val="0"/>
          <w:numId w:val="30"/>
        </w:numPr>
        <w:spacing w:before="0" w:beforeAutospacing="0" w:after="0" w:afterAutospacing="0"/>
        <w:textAlignment w:val="baseline"/>
        <w:rPr>
          <w:rFonts w:asciiTheme="minorHAnsi" w:hAnsiTheme="minorHAnsi" w:cs="Arial"/>
          <w:b/>
          <w:bCs/>
          <w:color w:val="000000"/>
          <w:sz w:val="26"/>
          <w:szCs w:val="26"/>
        </w:rPr>
      </w:pPr>
      <w:r>
        <w:rPr>
          <w:rFonts w:asciiTheme="minorHAnsi" w:hAnsiTheme="minorHAnsi" w:cs="Arial"/>
          <w:b/>
          <w:bCs/>
          <w:color w:val="000000"/>
          <w:sz w:val="26"/>
          <w:szCs w:val="26"/>
          <w:u w:val="single"/>
        </w:rPr>
        <w:t>GST Council - Changes (TH</w:t>
      </w:r>
      <w:r w:rsidR="009F6475" w:rsidRPr="009F6475">
        <w:rPr>
          <w:rFonts w:asciiTheme="minorHAnsi" w:hAnsiTheme="minorHAnsi" w:cs="Arial"/>
          <w:b/>
          <w:bCs/>
          <w:color w:val="000000"/>
          <w:sz w:val="26"/>
          <w:szCs w:val="26"/>
          <w:u w:val="single"/>
        </w:rPr>
        <w:t xml:space="preserve"> 11 Jan 19)</w:t>
      </w:r>
    </w:p>
    <w:p w14:paraId="0AC9BE62" w14:textId="77777777" w:rsidR="009F6475" w:rsidRPr="009F6475" w:rsidRDefault="009F6475" w:rsidP="009F6475">
      <w:pPr>
        <w:pStyle w:val="NormalWeb"/>
        <w:numPr>
          <w:ilvl w:val="1"/>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Threshold limit</w:t>
      </w:r>
    </w:p>
    <w:p w14:paraId="7899725E"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The tax exemption limit in case of goods supplier has been doubled to ₹ 40 </w:t>
      </w:r>
      <w:proofErr w:type="gramStart"/>
      <w:r w:rsidRPr="009F6475">
        <w:rPr>
          <w:rFonts w:asciiTheme="minorHAnsi" w:hAnsiTheme="minorHAnsi" w:cs="Arial"/>
          <w:color w:val="000000"/>
          <w:sz w:val="26"/>
          <w:szCs w:val="26"/>
        </w:rPr>
        <w:t>lakh</w:t>
      </w:r>
      <w:proofErr w:type="gramEnd"/>
      <w:r w:rsidRPr="009F6475">
        <w:rPr>
          <w:rFonts w:asciiTheme="minorHAnsi" w:hAnsiTheme="minorHAnsi" w:cs="Arial"/>
          <w:color w:val="000000"/>
          <w:sz w:val="26"/>
          <w:szCs w:val="26"/>
        </w:rPr>
        <w:t xml:space="preserve"> (in annual revenues and for north-east it has been doubled from ₹ 10 lakh to ₹ 20 lakh)</w:t>
      </w:r>
    </w:p>
    <w:p w14:paraId="31C565E7"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The states which are worried about the erosion of their tax base could notify to the Secretariat within a week and stay at the present level of ₹ 20 </w:t>
      </w:r>
      <w:proofErr w:type="gramStart"/>
      <w:r w:rsidRPr="009F6475">
        <w:rPr>
          <w:rFonts w:asciiTheme="minorHAnsi" w:hAnsiTheme="minorHAnsi" w:cs="Arial"/>
          <w:color w:val="000000"/>
          <w:sz w:val="26"/>
          <w:szCs w:val="26"/>
        </w:rPr>
        <w:t>lakh</w:t>
      </w:r>
      <w:proofErr w:type="gramEnd"/>
      <w:r w:rsidRPr="009F6475">
        <w:rPr>
          <w:rFonts w:asciiTheme="minorHAnsi" w:hAnsiTheme="minorHAnsi" w:cs="Arial"/>
          <w:color w:val="000000"/>
          <w:sz w:val="26"/>
          <w:szCs w:val="26"/>
        </w:rPr>
        <w:t xml:space="preserve"> (the increase will come into effect from 1st April 2019) </w:t>
      </w:r>
    </w:p>
    <w:p w14:paraId="7CE31C2A"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With the increase in the limit around 20 lakh taxpayers are expected to be benefitted and as per the govt, the revenue loss would be notional (as even with the current threshold limit of ₹ 20 </w:t>
      </w:r>
      <w:proofErr w:type="gramStart"/>
      <w:r w:rsidRPr="009F6475">
        <w:rPr>
          <w:rFonts w:asciiTheme="minorHAnsi" w:hAnsiTheme="minorHAnsi" w:cs="Arial"/>
          <w:color w:val="000000"/>
          <w:sz w:val="26"/>
          <w:szCs w:val="26"/>
        </w:rPr>
        <w:t>lakh</w:t>
      </w:r>
      <w:proofErr w:type="gramEnd"/>
      <w:r w:rsidRPr="009F6475">
        <w:rPr>
          <w:rFonts w:asciiTheme="minorHAnsi" w:hAnsiTheme="minorHAnsi" w:cs="Arial"/>
          <w:color w:val="000000"/>
          <w:sz w:val="26"/>
          <w:szCs w:val="26"/>
        </w:rPr>
        <w:t xml:space="preserve"> there are 10.93 lakh taxpayers who are paying GST despite their turnover being lesser than ₹ 20 lakh)    </w:t>
      </w:r>
    </w:p>
    <w:p w14:paraId="2FBC81E0"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The threshold limit for the service providers has been left unchanged at ₹ 20 lakh </w:t>
      </w:r>
      <w:proofErr w:type="gramStart"/>
      <w:r w:rsidRPr="009F6475">
        <w:rPr>
          <w:rFonts w:asciiTheme="minorHAnsi" w:hAnsiTheme="minorHAnsi" w:cs="Arial"/>
          <w:color w:val="000000"/>
          <w:sz w:val="26"/>
          <w:szCs w:val="26"/>
        </w:rPr>
        <w:t>(₹ 10</w:t>
      </w:r>
      <w:proofErr w:type="gramEnd"/>
      <w:r w:rsidRPr="009F6475">
        <w:rPr>
          <w:rFonts w:asciiTheme="minorHAnsi" w:hAnsiTheme="minorHAnsi" w:cs="Arial"/>
          <w:color w:val="000000"/>
          <w:sz w:val="26"/>
          <w:szCs w:val="26"/>
        </w:rPr>
        <w:t xml:space="preserve"> lakh in case of special category states it is ₹ 10 lakh) </w:t>
      </w:r>
    </w:p>
    <w:p w14:paraId="6DCF49B6" w14:textId="0FDDDBDD" w:rsidR="009F6475" w:rsidRPr="009F6475" w:rsidRDefault="009F6475" w:rsidP="009F6475">
      <w:pPr>
        <w:pStyle w:val="NormalWeb"/>
        <w:numPr>
          <w:ilvl w:val="1"/>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Composition Scheme (is applicable only for dealers involved in intra-state supplies; manufacturers, traders and hotels which did not serve alcohol are eligible; those availing composition scheme will not be allowed to get input tax credit</w:t>
      </w:r>
    </w:p>
    <w:p w14:paraId="444BB511" w14:textId="2B7AD9DA"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The turnover limit for availing the composition scheme</w:t>
      </w:r>
      <w:r>
        <w:rPr>
          <w:rFonts w:asciiTheme="minorHAnsi" w:hAnsiTheme="minorHAnsi" w:cs="Arial"/>
          <w:color w:val="000000"/>
          <w:sz w:val="26"/>
          <w:szCs w:val="26"/>
        </w:rPr>
        <w:t xml:space="preserve"> has been increased to ₹ 1.5 Cr</w:t>
      </w:r>
      <w:r w:rsidRPr="009F6475">
        <w:rPr>
          <w:rFonts w:asciiTheme="minorHAnsi" w:hAnsiTheme="minorHAnsi" w:cs="Arial"/>
          <w:color w:val="000000"/>
          <w:sz w:val="26"/>
          <w:szCs w:val="26"/>
        </w:rPr>
        <w:t> (from earlier ₹ 1 Cr)</w:t>
      </w:r>
    </w:p>
    <w:p w14:paraId="276E2106"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The service providers with a turnover of up to ₹ 50 </w:t>
      </w:r>
      <w:proofErr w:type="gramStart"/>
      <w:r w:rsidRPr="009F6475">
        <w:rPr>
          <w:rFonts w:asciiTheme="minorHAnsi" w:hAnsiTheme="minorHAnsi" w:cs="Arial"/>
          <w:color w:val="000000"/>
          <w:sz w:val="26"/>
          <w:szCs w:val="26"/>
        </w:rPr>
        <w:t>lakh</w:t>
      </w:r>
      <w:proofErr w:type="gramEnd"/>
      <w:r w:rsidRPr="009F6475">
        <w:rPr>
          <w:rFonts w:asciiTheme="minorHAnsi" w:hAnsiTheme="minorHAnsi" w:cs="Arial"/>
          <w:color w:val="000000"/>
          <w:sz w:val="26"/>
          <w:szCs w:val="26"/>
        </w:rPr>
        <w:t xml:space="preserve"> can avail the composition scheme at a rate of 6% </w:t>
      </w:r>
    </w:p>
    <w:p w14:paraId="46F5A079"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Those under the composition scheme will have to file the tax quarterly, though the returns can be filed annually</w:t>
      </w:r>
    </w:p>
    <w:p w14:paraId="581A0BC3" w14:textId="77777777" w:rsidR="009F6475" w:rsidRPr="009F6475" w:rsidRDefault="009F6475" w:rsidP="009F6475">
      <w:pPr>
        <w:pStyle w:val="NormalWeb"/>
        <w:numPr>
          <w:ilvl w:val="2"/>
          <w:numId w:val="30"/>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Benefits</w:t>
      </w:r>
    </w:p>
    <w:p w14:paraId="7A420E74" w14:textId="77777777" w:rsidR="009F6475" w:rsidRPr="009F6475" w:rsidRDefault="009F6475" w:rsidP="009F6475">
      <w:pPr>
        <w:pStyle w:val="NormalWeb"/>
        <w:numPr>
          <w:ilvl w:val="3"/>
          <w:numId w:val="31"/>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Raising the limit will provide relief for many of the taxpayers </w:t>
      </w:r>
    </w:p>
    <w:p w14:paraId="3363FCC7" w14:textId="77777777" w:rsidR="009F6475" w:rsidRPr="009F6475" w:rsidRDefault="009F6475" w:rsidP="009F6475">
      <w:pPr>
        <w:pStyle w:val="NormalWeb"/>
        <w:numPr>
          <w:ilvl w:val="1"/>
          <w:numId w:val="31"/>
        </w:numPr>
        <w:spacing w:before="0" w:beforeAutospacing="0" w:after="0" w:afterAutospacing="0"/>
        <w:textAlignment w:val="baseline"/>
        <w:rPr>
          <w:rFonts w:asciiTheme="minorHAnsi" w:hAnsiTheme="minorHAnsi" w:cs="Arial"/>
          <w:color w:val="000000"/>
          <w:sz w:val="26"/>
          <w:szCs w:val="26"/>
        </w:rPr>
      </w:pPr>
      <w:r w:rsidRPr="009F6475">
        <w:rPr>
          <w:rFonts w:asciiTheme="minorHAnsi" w:hAnsiTheme="minorHAnsi" w:cs="Arial"/>
          <w:color w:val="000000"/>
          <w:sz w:val="26"/>
          <w:szCs w:val="26"/>
        </w:rPr>
        <w:t xml:space="preserve">The council has allowed Kerala to levy a calamity cess of 1% on intrastate sales for a maximum period of two years </w:t>
      </w:r>
    </w:p>
    <w:p w14:paraId="56D9FCE3" w14:textId="77777777" w:rsidR="009F6475" w:rsidRPr="009F6475" w:rsidRDefault="009F6475" w:rsidP="009F6475">
      <w:pPr>
        <w:ind w:left="720"/>
        <w:textAlignment w:val="baseline"/>
        <w:rPr>
          <w:rFonts w:cs="Arial"/>
          <w:b/>
          <w:bCs/>
          <w:color w:val="000000"/>
          <w:sz w:val="26"/>
          <w:szCs w:val="26"/>
          <w:lang w:eastAsia="en-GB"/>
        </w:rPr>
      </w:pPr>
    </w:p>
    <w:p w14:paraId="42F9341D" w14:textId="77777777" w:rsidR="009F6475" w:rsidRPr="009F6475" w:rsidRDefault="009F6475" w:rsidP="009F6475">
      <w:pPr>
        <w:ind w:left="720"/>
        <w:textAlignment w:val="baseline"/>
        <w:rPr>
          <w:rFonts w:cs="Arial"/>
          <w:b/>
          <w:bCs/>
          <w:color w:val="000000"/>
          <w:sz w:val="26"/>
          <w:szCs w:val="26"/>
          <w:lang w:eastAsia="en-GB"/>
        </w:rPr>
      </w:pPr>
      <w:bookmarkStart w:id="0" w:name="_GoBack"/>
      <w:bookmarkEnd w:id="0"/>
    </w:p>
    <w:p w14:paraId="6C6727C8" w14:textId="3DB4A991" w:rsidR="009A2248" w:rsidRPr="00B42D3F" w:rsidRDefault="009F6475" w:rsidP="009F6475">
      <w:pPr>
        <w:pStyle w:val="ListParagraph"/>
        <w:spacing w:after="240"/>
        <w:rPr>
          <w:rFonts w:eastAsia="Times New Roman" w:cs="Times New Roman"/>
          <w:sz w:val="26"/>
          <w:szCs w:val="26"/>
          <w:lang w:eastAsia="en-GB"/>
        </w:rPr>
      </w:pPr>
      <w:r>
        <w:rPr>
          <w:rFonts w:eastAsia="Times New Roman" w:cs="Times New Roman"/>
          <w:color w:val="000000"/>
          <w:sz w:val="26"/>
          <w:szCs w:val="26"/>
          <w:lang w:eastAsia="en-GB"/>
        </w:rPr>
        <w:br/>
      </w:r>
      <w:r>
        <w:rPr>
          <w:rFonts w:eastAsia="Times New Roman" w:cs="Times New Roman"/>
          <w:color w:val="000000"/>
          <w:sz w:val="26"/>
          <w:szCs w:val="26"/>
          <w:lang w:eastAsia="en-GB"/>
        </w:rPr>
        <w:br/>
      </w:r>
      <w:r>
        <w:rPr>
          <w:rFonts w:eastAsia="Times New Roman" w:cs="Times New Roman"/>
          <w:color w:val="000000"/>
          <w:sz w:val="26"/>
          <w:szCs w:val="26"/>
          <w:lang w:eastAsia="en-GB"/>
        </w:rPr>
        <w:br/>
      </w:r>
      <w:r>
        <w:rPr>
          <w:rFonts w:eastAsia="Times New Roman" w:cs="Times New Roman"/>
          <w:color w:val="000000"/>
          <w:sz w:val="26"/>
          <w:szCs w:val="26"/>
          <w:lang w:eastAsia="en-GB"/>
        </w:rPr>
        <w:br/>
      </w:r>
      <w:r>
        <w:rPr>
          <w:rFonts w:eastAsia="Times New Roman" w:cs="Times New Roman"/>
          <w:color w:val="000000"/>
          <w:sz w:val="26"/>
          <w:szCs w:val="26"/>
          <w:lang w:eastAsia="en-GB"/>
        </w:rPr>
        <w:br/>
      </w:r>
      <w:r w:rsidR="009A2248" w:rsidRPr="00B42D3F">
        <w:rPr>
          <w:rFonts w:eastAsia="Times New Roman" w:cs="Times New Roman"/>
          <w:color w:val="000000"/>
          <w:sz w:val="26"/>
          <w:szCs w:val="26"/>
          <w:lang w:eastAsia="en-GB"/>
        </w:rPr>
        <w:br/>
      </w:r>
    </w:p>
    <w:p w14:paraId="4C6E2163" w14:textId="77777777" w:rsidR="00771A13" w:rsidRPr="009A2248" w:rsidRDefault="00494E00">
      <w:pPr>
        <w:rPr>
          <w:sz w:val="26"/>
          <w:szCs w:val="26"/>
        </w:rPr>
      </w:pPr>
    </w:p>
    <w:sectPr w:rsidR="00771A13" w:rsidRPr="009A2248" w:rsidSect="00AB368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CF326" w14:textId="77777777" w:rsidR="00494E00" w:rsidRDefault="00494E00" w:rsidP="00B563D6">
      <w:r>
        <w:separator/>
      </w:r>
    </w:p>
  </w:endnote>
  <w:endnote w:type="continuationSeparator" w:id="0">
    <w:p w14:paraId="6A4A2A9E" w14:textId="77777777" w:rsidR="00494E00" w:rsidRDefault="00494E00" w:rsidP="00B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F31373" w14:textId="77777777" w:rsidR="00B563D6" w:rsidRDefault="00B563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349284" w14:textId="20DB2CBF" w:rsidR="00B563D6" w:rsidRPr="00B563D6" w:rsidRDefault="00B563D6">
    <w:pPr>
      <w:pStyle w:val="Footer"/>
      <w:rPr>
        <w:b/>
      </w:rPr>
    </w:pPr>
    <w:r w:rsidRPr="00B563D6">
      <w:rPr>
        <w:b/>
      </w:rPr>
      <w:t>SHYAM S KAGGOD (Economics Faculty, BYJU’S IAS)</w:t>
    </w:r>
  </w:p>
  <w:p w14:paraId="745FB1E1" w14:textId="77777777" w:rsidR="00B563D6" w:rsidRDefault="00B563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7A44AC" w14:textId="77777777" w:rsidR="00B563D6" w:rsidRDefault="00B563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19CD4" w14:textId="77777777" w:rsidR="00494E00" w:rsidRDefault="00494E00" w:rsidP="00B563D6">
      <w:r>
        <w:separator/>
      </w:r>
    </w:p>
  </w:footnote>
  <w:footnote w:type="continuationSeparator" w:id="0">
    <w:p w14:paraId="6AA17DEE" w14:textId="77777777" w:rsidR="00494E00" w:rsidRDefault="00494E00" w:rsidP="00B563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9B564C" w14:textId="19B0A18A" w:rsidR="00B563D6" w:rsidRDefault="00494E00">
    <w:pPr>
      <w:pStyle w:val="Header"/>
    </w:pPr>
    <w:r>
      <w:rPr>
        <w:noProof/>
      </w:rPr>
      <w:pict w14:anchorId="53A5C6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9.9pt;height:105.95pt;rotation:315;z-index:-251655168;mso-wrap-edited:f;mso-position-horizontal:center;mso-position-horizontal-relative:margin;mso-position-vertical:center;mso-position-vertical-relative:margin" wrapcoords="21050 5515 20775 5209 20317 4902 19736 5821 19584 6587 19400 8272 20072 14400 20256 15319 18025 5668 17720 4443 17537 5209 17231 7047 16987 9345 15826 5515 15581 4902 15367 5668 15276 7660 15306 14860 13382 5974 12893 4136 12679 5055 12435 5209 12068 5515 11915 5974 11671 7047 11029 4443 10724 3983 10571 4902 10632 8579 9777 5209 9471 4902 9379 5821 9318 12562 7821 5362 7455 5055 7332 5974 7332 9345 6416 4902 6110 5209 6049 6434 5102 5209 4797 5362 4613 6281 4338 8272 3361 5515 3116 4902 2841 5362 2902 6281 3788 12562 2047 5668 1711 5515 1650 5209 672 5209 397 5515 397 15932 550 16851 1894 16851 2475 15626 2658 13787 3941 17004 4155 17157 4308 16545 4369 11949 5163 15932 5896 18077 6080 17157 6507 15779 6569 14094 6599 12715 6721 13328 8035 16851 8096 16698 8860 17157 9410 16391 9807 14860 9838 13634 9899 11949 9899 8426 10876 13328 12160 18077 12343 17157 12954 16851 13443 15932 13687 13328 13076 7047 13809 10723 15642 17464 15734 17004 16498 17311 16773 16545 17231 14094 17903 13940 18239 15626 19064 17464 19186 16851 20622 17157 21111 16238 21569 13940 21386 12255 20928 7506 21233 7506 21264 6587 21050 5515" fillcolor="silver" stroked="f">
          <v:textpath style="font-family:&quot;Calibri&quot;;font-size:1pt" string="BYJU'S IA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5E2B43" w14:textId="0D9E91B2" w:rsidR="00B563D6" w:rsidRDefault="00494E00">
    <w:pPr>
      <w:pStyle w:val="Header"/>
    </w:pPr>
    <w:r>
      <w:rPr>
        <w:noProof/>
      </w:rPr>
      <w:pict w14:anchorId="3453CAF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9.9pt;height:105.95pt;rotation:315;z-index:-251657216;mso-wrap-edited:f;mso-position-horizontal:center;mso-position-horizontal-relative:margin;mso-position-vertical:center;mso-position-vertical-relative:margin" wrapcoords="21050 5515 20775 5209 20317 4902 19736 5821 19584 6587 19400 8272 20072 14400 20256 15319 18025 5668 17720 4443 17537 5209 17231 7047 16987 9345 15826 5515 15581 4902 15367 5668 15276 7660 15306 14860 13382 5974 12893 4136 12679 5055 12435 5209 12068 5515 11915 5974 11671 7047 11029 4443 10724 3983 10571 4902 10632 8579 9777 5209 9471 4902 9379 5821 9318 12562 7821 5362 7455 5055 7332 5974 7332 9345 6416 4902 6110 5209 6049 6434 5102 5209 4797 5362 4613 6281 4338 8272 3361 5515 3116 4902 2841 5362 2902 6281 3788 12562 2047 5668 1711 5515 1650 5209 672 5209 397 5515 397 15932 550 16851 1894 16851 2475 15626 2658 13787 3941 17004 4155 17157 4308 16545 4369 11949 5163 15932 5896 18077 6080 17157 6507 15779 6569 14094 6599 12715 6721 13328 8035 16851 8096 16698 8860 17157 9410 16391 9807 14860 9838 13634 9899 11949 9899 8426 10876 13328 12160 18077 12343 17157 12954 16851 13443 15932 13687 13328 13076 7047 13809 10723 15642 17464 15734 17004 16498 17311 16773 16545 17231 14094 17903 13940 18239 15626 19064 17464 19186 16851 20622 17157 21111 16238 21569 13940 21386 12255 20928 7506 21233 7506 21264 6587 21050 5515" fillcolor="silver" stroked="f">
          <v:textpath style="font-family:&quot;Calibri&quot;;font-size:1pt" string="BYJU'S IA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881657" w14:textId="28B1B6B6" w:rsidR="00B563D6" w:rsidRDefault="00494E00">
    <w:pPr>
      <w:pStyle w:val="Header"/>
    </w:pPr>
    <w:r>
      <w:rPr>
        <w:noProof/>
      </w:rPr>
      <w:pict w14:anchorId="3C306C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9.9pt;height:105.95pt;rotation:315;z-index:-251653120;mso-wrap-edited:f;mso-position-horizontal:center;mso-position-horizontal-relative:margin;mso-position-vertical:center;mso-position-vertical-relative:margin" wrapcoords="21050 5515 20775 5209 20317 4902 19736 5821 19584 6587 19400 8272 20072 14400 20256 15319 18025 5668 17720 4443 17537 5209 17231 7047 16987 9345 15826 5515 15581 4902 15367 5668 15276 7660 15306 14860 13382 5974 12893 4136 12679 5055 12435 5209 12068 5515 11915 5974 11671 7047 11029 4443 10724 3983 10571 4902 10632 8579 9777 5209 9471 4902 9379 5821 9318 12562 7821 5362 7455 5055 7332 5974 7332 9345 6416 4902 6110 5209 6049 6434 5102 5209 4797 5362 4613 6281 4338 8272 3361 5515 3116 4902 2841 5362 2902 6281 3788 12562 2047 5668 1711 5515 1650 5209 672 5209 397 5515 397 15932 550 16851 1894 16851 2475 15626 2658 13787 3941 17004 4155 17157 4308 16545 4369 11949 5163 15932 5896 18077 6080 17157 6507 15779 6569 14094 6599 12715 6721 13328 8035 16851 8096 16698 8860 17157 9410 16391 9807 14860 9838 13634 9899 11949 9899 8426 10876 13328 12160 18077 12343 17157 12954 16851 13443 15932 13687 13328 13076 7047 13809 10723 15642 17464 15734 17004 16498 17311 16773 16545 17231 14094 17903 13940 18239 15626 19064 17464 19186 16851 20622 17157 21111 16238 21569 13940 21386 12255 20928 7506 21233 7506 21264 6587 21050 5515" fillcolor="silver" stroked="f">
          <v:textpath style="font-family:&quot;Calibri&quot;;font-size:1pt" string="BYJU'S IA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5BC"/>
    <w:multiLevelType w:val="multilevel"/>
    <w:tmpl w:val="493AB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749C"/>
    <w:multiLevelType w:val="multilevel"/>
    <w:tmpl w:val="8F06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E7554"/>
    <w:multiLevelType w:val="multilevel"/>
    <w:tmpl w:val="DCB0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8045F"/>
    <w:multiLevelType w:val="multilevel"/>
    <w:tmpl w:val="B2B2F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97CB9"/>
    <w:multiLevelType w:val="multilevel"/>
    <w:tmpl w:val="1574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56D2B"/>
    <w:multiLevelType w:val="multilevel"/>
    <w:tmpl w:val="BD782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26A57"/>
    <w:multiLevelType w:val="hybridMultilevel"/>
    <w:tmpl w:val="A6A0E0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252F5F"/>
    <w:multiLevelType w:val="multilevel"/>
    <w:tmpl w:val="00E48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44C4C"/>
    <w:multiLevelType w:val="multilevel"/>
    <w:tmpl w:val="A9BC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6793"/>
    <w:multiLevelType w:val="multilevel"/>
    <w:tmpl w:val="5EAC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463FF"/>
    <w:multiLevelType w:val="multilevel"/>
    <w:tmpl w:val="DD8E3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33872"/>
    <w:multiLevelType w:val="multilevel"/>
    <w:tmpl w:val="3BC8F85A"/>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A1374"/>
    <w:multiLevelType w:val="multilevel"/>
    <w:tmpl w:val="097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D5C47"/>
    <w:multiLevelType w:val="multilevel"/>
    <w:tmpl w:val="8E76D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F6977"/>
    <w:multiLevelType w:val="multilevel"/>
    <w:tmpl w:val="9EDCF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54EB1"/>
    <w:multiLevelType w:val="multilevel"/>
    <w:tmpl w:val="59B2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408D9"/>
    <w:multiLevelType w:val="multilevel"/>
    <w:tmpl w:val="4F56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5527C7"/>
    <w:multiLevelType w:val="multilevel"/>
    <w:tmpl w:val="6646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837DED"/>
    <w:multiLevelType w:val="multilevel"/>
    <w:tmpl w:val="5CB2B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50FCA"/>
    <w:multiLevelType w:val="multilevel"/>
    <w:tmpl w:val="D4F2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EE2DB5"/>
    <w:multiLevelType w:val="multilevel"/>
    <w:tmpl w:val="5728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F0CEA"/>
    <w:multiLevelType w:val="multilevel"/>
    <w:tmpl w:val="1D8A9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F2445"/>
    <w:multiLevelType w:val="multilevel"/>
    <w:tmpl w:val="5C74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EB6195"/>
    <w:multiLevelType w:val="multilevel"/>
    <w:tmpl w:val="A5CE3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lvlOverride w:ilvl="3">
      <w:lvl w:ilvl="3">
        <w:numFmt w:val="bullet"/>
        <w:lvlText w:val=""/>
        <w:lvlJc w:val="left"/>
        <w:pPr>
          <w:tabs>
            <w:tab w:val="num" w:pos="2880"/>
          </w:tabs>
          <w:ind w:left="2880" w:hanging="360"/>
        </w:pPr>
        <w:rPr>
          <w:rFonts w:ascii="Symbol" w:hAnsi="Symbol" w:hint="default"/>
          <w:sz w:val="20"/>
        </w:rPr>
      </w:lvl>
    </w:lvlOverride>
  </w:num>
  <w:num w:numId="3">
    <w:abstractNumId w:val="12"/>
  </w:num>
  <w:num w:numId="4">
    <w:abstractNumId w:val="20"/>
  </w:num>
  <w:num w:numId="5">
    <w:abstractNumId w:val="18"/>
  </w:num>
  <w:num w:numId="6">
    <w:abstractNumId w:val="14"/>
  </w:num>
  <w:num w:numId="7">
    <w:abstractNumId w:val="1"/>
  </w:num>
  <w:num w:numId="8">
    <w:abstractNumId w:val="15"/>
  </w:num>
  <w:num w:numId="9">
    <w:abstractNumId w:val="7"/>
  </w:num>
  <w:num w:numId="10">
    <w:abstractNumId w:val="0"/>
  </w:num>
  <w:num w:numId="11">
    <w:abstractNumId w:val="0"/>
    <w:lvlOverride w:ilvl="3">
      <w:lvl w:ilvl="3">
        <w:numFmt w:val="bullet"/>
        <w:lvlText w:val=""/>
        <w:lvlJc w:val="left"/>
        <w:pPr>
          <w:tabs>
            <w:tab w:val="num" w:pos="2880"/>
          </w:tabs>
          <w:ind w:left="2880" w:hanging="360"/>
        </w:pPr>
        <w:rPr>
          <w:rFonts w:ascii="Symbol" w:hAnsi="Symbol" w:hint="default"/>
          <w:sz w:val="20"/>
        </w:rPr>
      </w:lvl>
    </w:lvlOverride>
  </w:num>
  <w:num w:numId="12">
    <w:abstractNumId w:val="21"/>
  </w:num>
  <w:num w:numId="13">
    <w:abstractNumId w:val="4"/>
  </w:num>
  <w:num w:numId="14">
    <w:abstractNumId w:val="2"/>
  </w:num>
  <w:num w:numId="15">
    <w:abstractNumId w:val="2"/>
    <w:lvlOverride w:ilvl="3">
      <w:lvl w:ilvl="3">
        <w:numFmt w:val="bullet"/>
        <w:lvlText w:val=""/>
        <w:lvlJc w:val="left"/>
        <w:pPr>
          <w:tabs>
            <w:tab w:val="num" w:pos="2880"/>
          </w:tabs>
          <w:ind w:left="2880" w:hanging="360"/>
        </w:pPr>
        <w:rPr>
          <w:rFonts w:ascii="Symbol" w:hAnsi="Symbol" w:hint="default"/>
          <w:sz w:val="20"/>
        </w:rPr>
      </w:lvl>
    </w:lvlOverride>
  </w:num>
  <w:num w:numId="16">
    <w:abstractNumId w:val="17"/>
  </w:num>
  <w:num w:numId="17">
    <w:abstractNumId w:val="13"/>
  </w:num>
  <w:num w:numId="18">
    <w:abstractNumId w:val="13"/>
    <w:lvlOverride w:ilvl="3">
      <w:lvl w:ilvl="3">
        <w:numFmt w:val="bullet"/>
        <w:lvlText w:val=""/>
        <w:lvlJc w:val="left"/>
        <w:pPr>
          <w:tabs>
            <w:tab w:val="num" w:pos="2880"/>
          </w:tabs>
          <w:ind w:left="2880" w:hanging="360"/>
        </w:pPr>
        <w:rPr>
          <w:rFonts w:ascii="Symbol" w:hAnsi="Symbol" w:hint="default"/>
          <w:sz w:val="20"/>
        </w:rPr>
      </w:lvl>
    </w:lvlOverride>
  </w:num>
  <w:num w:numId="19">
    <w:abstractNumId w:val="10"/>
  </w:num>
  <w:num w:numId="20">
    <w:abstractNumId w:val="16"/>
  </w:num>
  <w:num w:numId="21">
    <w:abstractNumId w:val="19"/>
  </w:num>
  <w:num w:numId="22">
    <w:abstractNumId w:val="19"/>
    <w:lvlOverride w:ilvl="3">
      <w:lvl w:ilvl="3">
        <w:numFmt w:val="bullet"/>
        <w:lvlText w:val=""/>
        <w:lvlJc w:val="left"/>
        <w:pPr>
          <w:tabs>
            <w:tab w:val="num" w:pos="2880"/>
          </w:tabs>
          <w:ind w:left="2880" w:hanging="360"/>
        </w:pPr>
        <w:rPr>
          <w:rFonts w:ascii="Symbol" w:hAnsi="Symbol" w:hint="default"/>
          <w:sz w:val="20"/>
        </w:rPr>
      </w:lvl>
    </w:lvlOverride>
  </w:num>
  <w:num w:numId="23">
    <w:abstractNumId w:val="3"/>
  </w:num>
  <w:num w:numId="24">
    <w:abstractNumId w:val="9"/>
  </w:num>
  <w:num w:numId="25">
    <w:abstractNumId w:val="5"/>
  </w:num>
  <w:num w:numId="26">
    <w:abstractNumId w:val="8"/>
  </w:num>
  <w:num w:numId="27">
    <w:abstractNumId w:val="6"/>
  </w:num>
  <w:num w:numId="28">
    <w:abstractNumId w:val="22"/>
  </w:num>
  <w:num w:numId="29">
    <w:abstractNumId w:val="22"/>
    <w:lvlOverride w:ilvl="3">
      <w:lvl w:ilvl="3">
        <w:numFmt w:val="bullet"/>
        <w:lvlText w:val=""/>
        <w:lvlJc w:val="left"/>
        <w:pPr>
          <w:tabs>
            <w:tab w:val="num" w:pos="2880"/>
          </w:tabs>
          <w:ind w:left="2880" w:hanging="360"/>
        </w:pPr>
        <w:rPr>
          <w:rFonts w:ascii="Symbol" w:hAnsi="Symbol" w:hint="default"/>
          <w:sz w:val="20"/>
        </w:rPr>
      </w:lvl>
    </w:lvlOverride>
  </w:num>
  <w:num w:numId="30">
    <w:abstractNumId w:val="11"/>
  </w:num>
  <w:num w:numId="31">
    <w:abstractNumId w:val="11"/>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48"/>
    <w:rsid w:val="00031BEF"/>
    <w:rsid w:val="001D3683"/>
    <w:rsid w:val="00275B1F"/>
    <w:rsid w:val="00494E00"/>
    <w:rsid w:val="00534424"/>
    <w:rsid w:val="0053594E"/>
    <w:rsid w:val="006D23CC"/>
    <w:rsid w:val="007D6E47"/>
    <w:rsid w:val="00937FC4"/>
    <w:rsid w:val="009A2248"/>
    <w:rsid w:val="009F6475"/>
    <w:rsid w:val="00AB368F"/>
    <w:rsid w:val="00B42D3F"/>
    <w:rsid w:val="00B563D6"/>
    <w:rsid w:val="00D43FA4"/>
    <w:rsid w:val="00E63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0875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248"/>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B42D3F"/>
    <w:pPr>
      <w:ind w:left="720"/>
      <w:contextualSpacing/>
    </w:pPr>
  </w:style>
  <w:style w:type="paragraph" w:styleId="Header">
    <w:name w:val="header"/>
    <w:basedOn w:val="Normal"/>
    <w:link w:val="HeaderChar"/>
    <w:uiPriority w:val="99"/>
    <w:unhideWhenUsed/>
    <w:rsid w:val="00B563D6"/>
    <w:pPr>
      <w:tabs>
        <w:tab w:val="center" w:pos="4513"/>
        <w:tab w:val="right" w:pos="9026"/>
      </w:tabs>
    </w:pPr>
  </w:style>
  <w:style w:type="character" w:customStyle="1" w:styleId="HeaderChar">
    <w:name w:val="Header Char"/>
    <w:basedOn w:val="DefaultParagraphFont"/>
    <w:link w:val="Header"/>
    <w:uiPriority w:val="99"/>
    <w:rsid w:val="00B563D6"/>
  </w:style>
  <w:style w:type="paragraph" w:styleId="Footer">
    <w:name w:val="footer"/>
    <w:basedOn w:val="Normal"/>
    <w:link w:val="FooterChar"/>
    <w:uiPriority w:val="99"/>
    <w:unhideWhenUsed/>
    <w:rsid w:val="00B563D6"/>
    <w:pPr>
      <w:tabs>
        <w:tab w:val="center" w:pos="4513"/>
        <w:tab w:val="right" w:pos="9026"/>
      </w:tabs>
    </w:pPr>
  </w:style>
  <w:style w:type="character" w:customStyle="1" w:styleId="FooterChar">
    <w:name w:val="Footer Char"/>
    <w:basedOn w:val="DefaultParagraphFont"/>
    <w:link w:val="Footer"/>
    <w:uiPriority w:val="99"/>
    <w:rsid w:val="00B5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39611">
      <w:bodyDiv w:val="1"/>
      <w:marLeft w:val="0"/>
      <w:marRight w:val="0"/>
      <w:marTop w:val="0"/>
      <w:marBottom w:val="0"/>
      <w:divBdr>
        <w:top w:val="none" w:sz="0" w:space="0" w:color="auto"/>
        <w:left w:val="none" w:sz="0" w:space="0" w:color="auto"/>
        <w:bottom w:val="none" w:sz="0" w:space="0" w:color="auto"/>
        <w:right w:val="none" w:sz="0" w:space="0" w:color="auto"/>
      </w:divBdr>
    </w:div>
    <w:div w:id="1435663072">
      <w:bodyDiv w:val="1"/>
      <w:marLeft w:val="0"/>
      <w:marRight w:val="0"/>
      <w:marTop w:val="0"/>
      <w:marBottom w:val="0"/>
      <w:divBdr>
        <w:top w:val="none" w:sz="0" w:space="0" w:color="auto"/>
        <w:left w:val="none" w:sz="0" w:space="0" w:color="auto"/>
        <w:bottom w:val="none" w:sz="0" w:space="0" w:color="auto"/>
        <w:right w:val="none" w:sz="0" w:space="0" w:color="auto"/>
      </w:divBdr>
    </w:div>
    <w:div w:id="2086567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717</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2019-01-24T07:08:00Z</dcterms:created>
  <dcterms:modified xsi:type="dcterms:W3CDTF">2019-01-25T07:36:00Z</dcterms:modified>
</cp:coreProperties>
</file>